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內文1"/>
        <w:jc w:val="center"/>
        <w:rPr>
          <w:sz w:val="32"/>
          <w:szCs w:val="32"/>
        </w:rPr>
      </w:pPr>
      <w:r>
        <w:rPr>
          <w:rFonts w:ascii="PMingLiU" w:cs="PMingLiU" w:hAnsi="PMingLiU" w:eastAsia="PMingLiU"/>
          <w:b w:val="1"/>
          <w:bCs w:val="1"/>
          <w:sz w:val="32"/>
          <w:szCs w:val="32"/>
          <w:rtl w:val="0"/>
          <w:lang w:val="zh-TW" w:eastAsia="zh-TW"/>
        </w:rPr>
        <w:t>臺大動物醫院癌症治療中心門診初</w:t>
      </w:r>
      <w:r>
        <w:rPr>
          <w:rFonts w:ascii="PMingLiU" w:cs="PMingLiU" w:hAnsi="PMingLiU" w:eastAsia="PMingLiU"/>
          <w:b w:val="1"/>
          <w:bCs w:val="1"/>
          <w:sz w:val="32"/>
          <w:szCs w:val="32"/>
          <w:rtl w:val="0"/>
          <w:lang w:val="en-US"/>
        </w:rPr>
        <w:t>/</w:t>
      </w:r>
      <w:r>
        <w:rPr>
          <w:rFonts w:ascii="PMingLiU" w:cs="PMingLiU" w:hAnsi="PMingLiU" w:eastAsia="PMingLiU"/>
          <w:b w:val="1"/>
          <w:bCs w:val="1"/>
          <w:sz w:val="32"/>
          <w:szCs w:val="32"/>
          <w:rtl w:val="0"/>
          <w:lang w:val="zh-TW" w:eastAsia="zh-TW"/>
        </w:rPr>
        <w:t>轉診預約單</w:t>
      </w:r>
    </w:p>
    <w:tbl>
      <w:tblPr>
        <w:tblW w:w="9544" w:type="dxa"/>
        <w:jc w:val="center"/>
        <w:tblInd w:w="529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384"/>
        <w:gridCol w:w="1134"/>
        <w:gridCol w:w="1461"/>
        <w:gridCol w:w="1062"/>
        <w:gridCol w:w="1534"/>
        <w:gridCol w:w="2809"/>
        <w:gridCol w:w="160"/>
      </w:tblGrid>
      <w:tr>
        <w:tblPrEx>
          <w:shd w:val="clear" w:color="auto" w:fill="cdd4e9"/>
        </w:tblPrEx>
        <w:trPr>
          <w:trHeight w:val="741" w:hRule="atLeast"/>
        </w:trPr>
        <w:tc>
          <w:tcPr>
            <w:tcW w:type="dxa" w:w="138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zh-TW" w:eastAsia="zh-TW"/>
              </w:rPr>
              <w:t>欲掛門診</w:t>
            </w:r>
          </w:p>
        </w:tc>
        <w:tc>
          <w:tcPr>
            <w:tcW w:type="dxa" w:w="25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□ </w:t>
            </w:r>
            <w:r>
              <w:rPr>
                <w:rFonts w:ascii="PMingLiU" w:cs="PMingLiU" w:hAnsi="PMingLiU" w:eastAsia="PMingLiU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zh-TW" w:eastAsia="zh-TW"/>
              </w:rPr>
              <w:t>週一 李繼忠醫師</w:t>
            </w:r>
          </w:p>
        </w:tc>
        <w:tc>
          <w:tcPr>
            <w:tcW w:type="dxa" w:w="25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□ </w:t>
            </w:r>
            <w:r>
              <w:rPr>
                <w:rFonts w:ascii="PMingLiU" w:cs="PMingLiU" w:hAnsi="PMingLiU" w:eastAsia="PMingLiU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zh-TW" w:eastAsia="zh-TW"/>
              </w:rPr>
              <w:t>週三</w:t>
            </w:r>
            <w:r>
              <w:rPr>
                <w:rFonts w:ascii="PMingLiU" w:cs="PMingLiU" w:hAnsi="PMingLiU" w:eastAsia="PMingLiU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PMingLiU" w:cs="PMingLiU" w:hAnsi="PMingLiU" w:eastAsia="PMingLiU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zh-TW" w:eastAsia="zh-TW"/>
              </w:rPr>
              <w:t>黃品毓醫師</w:t>
            </w:r>
          </w:p>
        </w:tc>
        <w:tc>
          <w:tcPr>
            <w:tcW w:type="dxa" w:w="2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□ </w:t>
            </w:r>
            <w:r>
              <w:rPr>
                <w:rFonts w:ascii="PMingLiU" w:cs="PMingLiU" w:hAnsi="PMingLiU" w:eastAsia="PMingLiU"/>
                <w:b w:val="1"/>
                <w:bCs w:val="1"/>
                <w:kern w:val="0"/>
                <w:sz w:val="22"/>
                <w:szCs w:val="22"/>
                <w:shd w:val="nil" w:color="auto" w:fill="auto"/>
                <w:rtl w:val="0"/>
                <w:lang w:val="zh-TW" w:eastAsia="zh-TW"/>
              </w:rPr>
              <w:t>週四 李映萱醫師</w:t>
            </w:r>
          </w:p>
        </w:tc>
        <w:tc>
          <w:tcPr>
            <w:tcW w:type="dxa" w:w="160"/>
            <w:vMerge w:val="restart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138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00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7e6e6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  <w:jc w:val="center"/>
            </w:pPr>
            <w:r>
              <w:rPr>
                <w:rFonts w:eastAsia="Yuanti TC Bold" w:hint="eastAsia"/>
                <w:kern w:val="0"/>
                <w:sz w:val="22"/>
                <w:szCs w:val="22"/>
                <w:shd w:val="nil" w:color="auto" w:fill="auto"/>
                <w:rtl w:val="0"/>
                <w:lang w:val="zh-TW" w:eastAsia="zh-TW"/>
              </w:rPr>
              <w:t>提醒您，就診前需幫動物禁食</w:t>
            </w:r>
            <w:r>
              <w:rPr>
                <w:rFonts w:ascii="Yuanti TC Bold" w:hAnsi="Yuanti TC Bold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12</w:t>
            </w:r>
            <w:r>
              <w:rPr>
                <w:rFonts w:eastAsia="Yuanti TC Bold" w:hint="eastAsia"/>
                <w:kern w:val="0"/>
                <w:sz w:val="22"/>
                <w:szCs w:val="22"/>
                <w:shd w:val="nil" w:color="auto" w:fill="auto"/>
                <w:rtl w:val="0"/>
                <w:lang w:val="zh-TW" w:eastAsia="zh-TW"/>
              </w:rPr>
              <w:t>小時、禁水</w:t>
            </w:r>
            <w:r>
              <w:rPr>
                <w:rFonts w:ascii="Yuanti TC Bold" w:hAnsi="Yuanti TC Bold"/>
                <w:kern w:val="0"/>
                <w:sz w:val="22"/>
                <w:szCs w:val="22"/>
                <w:shd w:val="nil" w:color="auto" w:fill="auto"/>
                <w:rtl w:val="0"/>
                <w:lang w:val="en-US"/>
              </w:rPr>
              <w:t>3</w:t>
            </w:r>
            <w:r>
              <w:rPr>
                <w:rFonts w:eastAsia="Yuanti TC Regular" w:hint="eastAsia"/>
                <w:kern w:val="0"/>
                <w:sz w:val="22"/>
                <w:szCs w:val="22"/>
                <w:shd w:val="nil" w:color="auto" w:fill="auto"/>
                <w:rtl w:val="0"/>
                <w:lang w:val="zh-TW" w:eastAsia="zh-TW"/>
              </w:rPr>
              <w:t>小時，謝謝！</w:t>
            </w:r>
          </w:p>
        </w:tc>
        <w:tc>
          <w:tcPr>
            <w:tcW w:type="dxa" w:w="160"/>
            <w:vMerge w:val="continue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630" w:hRule="atLeast"/>
        </w:trPr>
        <w:tc>
          <w:tcPr>
            <w:tcW w:type="dxa" w:w="1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飼主姓名</w:t>
            </w:r>
          </w:p>
        </w:tc>
        <w:tc>
          <w:tcPr>
            <w:tcW w:type="dxa" w:w="25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聯絡電話</w:t>
            </w:r>
          </w:p>
        </w:tc>
        <w:tc>
          <w:tcPr>
            <w:tcW w:type="dxa" w:w="2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電子郵件：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lang w:val="en-US"/>
              </w:rPr>
              <w:br w:type="textWrapping"/>
            </w:r>
          </w:p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690" w:hRule="atLeast"/>
        </w:trPr>
        <w:tc>
          <w:tcPr>
            <w:tcW w:type="dxa" w:w="1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動物呼名</w:t>
            </w:r>
          </w:p>
        </w:tc>
        <w:tc>
          <w:tcPr>
            <w:tcW w:type="dxa" w:w="25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動物性別與結紮狀況</w:t>
            </w:r>
          </w:p>
        </w:tc>
        <w:tc>
          <w:tcPr>
            <w:tcW w:type="dxa" w:w="2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  <w:rPr>
                <w:rFonts w:ascii="PMingLiU" w:cs="PMingLiU" w:hAnsi="PMingLiU" w:eastAsia="PMingLiU"/>
                <w:kern w:val="0"/>
                <w:shd w:val="nil" w:color="auto" w:fill="auto"/>
              </w:rPr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公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母   </w:t>
            </w:r>
          </w:p>
          <w:p>
            <w:pPr>
              <w:pStyle w:val="內文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未紮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/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已紮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(__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歲結紮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50" w:hRule="atLeast"/>
        </w:trPr>
        <w:tc>
          <w:tcPr>
            <w:tcW w:type="dxa" w:w="1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種別</w:t>
            </w:r>
          </w:p>
        </w:tc>
        <w:tc>
          <w:tcPr>
            <w:tcW w:type="dxa" w:w="25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貓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狗</w:t>
            </w:r>
          </w:p>
        </w:tc>
        <w:tc>
          <w:tcPr>
            <w:tcW w:type="dxa" w:w="25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品種</w:t>
            </w:r>
          </w:p>
        </w:tc>
        <w:tc>
          <w:tcPr>
            <w:tcW w:type="dxa" w:w="2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50" w:hRule="atLeast"/>
        </w:trPr>
        <w:tc>
          <w:tcPr>
            <w:tcW w:type="dxa" w:w="1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年齡</w:t>
            </w:r>
          </w:p>
        </w:tc>
        <w:tc>
          <w:tcPr>
            <w:tcW w:type="dxa" w:w="25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9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體重</w:t>
            </w:r>
          </w:p>
        </w:tc>
        <w:tc>
          <w:tcPr>
            <w:tcW w:type="dxa" w:w="28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50" w:hRule="atLeast"/>
        </w:trPr>
        <w:tc>
          <w:tcPr>
            <w:tcW w:type="dxa" w:w="251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轉診醫院：</w:t>
            </w:r>
          </w:p>
        </w:tc>
        <w:tc>
          <w:tcPr>
            <w:tcW w:type="dxa" w:w="252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轉診醫師：</w:t>
            </w:r>
          </w:p>
        </w:tc>
        <w:tc>
          <w:tcPr>
            <w:tcW w:type="dxa" w:w="434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聯絡電話：</w:t>
            </w:r>
          </w:p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048" w:hRule="atLeast"/>
        </w:trPr>
        <w:tc>
          <w:tcPr>
            <w:tcW w:type="dxa" w:w="938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  <w:rPr>
                <w:rFonts w:ascii="PMingLiU" w:cs="PMingLiU" w:hAnsi="PMingLiU" w:eastAsia="PMingLiU"/>
                <w:kern w:val="0"/>
                <w:shd w:val="nil" w:color="auto" w:fill="auto"/>
              </w:rPr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主訴及病史（腫塊位置、大小及狀況）</w:t>
            </w:r>
          </w:p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lang w:val="en-US"/>
              </w:rPr>
            </w:r>
          </w:p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377" w:hRule="atLeast"/>
        </w:trPr>
        <w:tc>
          <w:tcPr>
            <w:tcW w:type="dxa" w:w="938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  <w:rPr>
                <w:rFonts w:ascii="PMingLiU" w:cs="PMingLiU" w:hAnsi="PMingLiU" w:eastAsia="PMingLiU"/>
                <w:kern w:val="0"/>
                <w:shd w:val="nil" w:color="auto" w:fill="auto"/>
              </w:rPr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過去相關檢驗</w:t>
            </w:r>
          </w:p>
          <w:p>
            <w:pPr>
              <w:pStyle w:val="內文1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[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有做過的檢查請勾選，並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E-mail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或傳真至癌症中心，無法傳送者請於</w:t>
            </w:r>
            <w:r>
              <w:rPr>
                <w:rFonts w:ascii="PMingLiU" w:cs="PMingLiU" w:hAnsi="PMingLiU" w:eastAsia="PMingLiU"/>
                <w:b w:val="1"/>
                <w:bCs w:val="1"/>
                <w:kern w:val="0"/>
                <w:u w:val="single"/>
                <w:shd w:val="nil" w:color="auto" w:fill="auto"/>
                <w:rtl w:val="0"/>
                <w:lang w:val="zh-TW" w:eastAsia="zh-TW"/>
              </w:rPr>
              <w:t>就診當日提供</w:t>
            </w:r>
            <w:r>
              <w:rPr>
                <w:rFonts w:ascii="PMingLiU" w:cs="PMingLiU" w:hAnsi="PMingLiU" w:eastAsia="PMingLiU"/>
                <w:kern w:val="0"/>
                <w:u w:val="single"/>
                <w:shd w:val="nil" w:color="auto" w:fill="auto"/>
                <w:rtl w:val="0"/>
                <w:lang w:val="en-US"/>
              </w:rPr>
              <w:t>]</w:t>
            </w:r>
          </w:p>
          <w:p>
            <w:pPr>
              <w:pStyle w:val="內文1"/>
              <w:bidi w:val="0"/>
              <w:ind w:left="0" w:right="0" w:firstLine="0"/>
              <w:jc w:val="left"/>
              <w:rPr>
                <w:rFonts w:ascii="PMingLiU" w:cs="PMingLiU" w:hAnsi="PMingLiU" w:eastAsia="PMingLiU"/>
                <w:kern w:val="0"/>
                <w:shd w:val="nil" w:color="auto" w:fill="auto"/>
                <w:rtl w:val="0"/>
              </w:rPr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血液及血清生化學檢查   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尿檢 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糞檢  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皮毛檢查  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X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光  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超音波 </w:t>
            </w:r>
          </w:p>
          <w:p>
            <w:pPr>
              <w:pStyle w:val="內文1"/>
              <w:bidi w:val="0"/>
              <w:ind w:left="0" w:right="0" w:firstLine="0"/>
              <w:jc w:val="left"/>
              <w:rPr>
                <w:rFonts w:ascii="PMingLiU" w:cs="PMingLiU" w:hAnsi="PMingLiU" w:eastAsia="PMingLiU"/>
                <w:kern w:val="0"/>
                <w:shd w:val="nil" w:color="auto" w:fill="auto"/>
                <w:rtl w:val="0"/>
              </w:rPr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CT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電腦斷層   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MRI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核磁共振  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內視鏡檢查   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FNA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 xml:space="preserve">細胞學檢查   </w:t>
            </w:r>
          </w:p>
          <w:p>
            <w:pPr>
              <w:pStyle w:val="內文1"/>
              <w:bidi w:val="0"/>
              <w:ind w:left="0" w:right="0" w:firstLine="0"/>
              <w:jc w:val="left"/>
              <w:rPr>
                <w:rFonts w:ascii="PMingLiU" w:cs="PMingLiU" w:hAnsi="PMingLiU" w:eastAsia="PMingLiU"/>
                <w:kern w:val="0"/>
                <w:shd w:val="nil" w:color="auto" w:fill="auto"/>
                <w:rtl w:val="0"/>
              </w:rPr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病理切片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(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若已採樣請務必確認結果出來後再約診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)</w:t>
            </w:r>
          </w:p>
          <w:p>
            <w:pPr>
              <w:pStyle w:val="內文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□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其他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en-US"/>
              </w:rPr>
              <w:t>:</w:t>
            </w:r>
            <w:r>
              <w:rPr>
                <w:rFonts w:ascii="PMingLiU" w:cs="PMingLiU" w:hAnsi="PMingLiU" w:eastAsia="PMingLiU"/>
                <w:kern w:val="0"/>
                <w:shd w:val="nil" w:color="auto" w:fill="auto"/>
              </w:rPr>
            </w:r>
          </w:p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861" w:hRule="atLeast"/>
        </w:trPr>
        <w:tc>
          <w:tcPr>
            <w:tcW w:type="dxa" w:w="938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內文1"/>
              <w:rPr>
                <w:rFonts w:ascii="PMingLiU" w:cs="PMingLiU" w:hAnsi="PMingLiU" w:eastAsia="PMingLiU"/>
                <w:kern w:val="0"/>
                <w:shd w:val="nil" w:color="auto" w:fill="auto"/>
              </w:rPr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rtl w:val="0"/>
                <w:lang w:val="zh-TW" w:eastAsia="zh-TW"/>
              </w:rPr>
              <w:t>相關病史及治療經歷</w:t>
            </w:r>
          </w:p>
          <w:p>
            <w:pPr>
              <w:pStyle w:val="內文1"/>
            </w:pPr>
            <w:r>
              <w:rPr>
                <w:rFonts w:ascii="PMingLiU" w:cs="PMingLiU" w:hAnsi="PMingLiU" w:eastAsia="PMingLiU"/>
                <w:kern w:val="0"/>
                <w:shd w:val="nil" w:color="auto" w:fill="auto"/>
                <w:lang w:val="en-US"/>
              </w:rPr>
            </w:r>
          </w:p>
        </w:tc>
        <w:tc>
          <w:tcPr>
            <w:tcW w:type="dxa" w:w="160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內文1"/>
        <w:ind w:left="421" w:hanging="421"/>
        <w:jc w:val="center"/>
        <w:rPr>
          <w:sz w:val="32"/>
          <w:szCs w:val="32"/>
        </w:rPr>
      </w:pPr>
    </w:p>
    <w:p>
      <w:pPr>
        <w:pStyle w:val="內文1"/>
      </w:pPr>
      <w:r>
        <w:rPr>
          <w:rFonts w:ascii="PMingLiU" w:cs="PMingLiU" w:hAnsi="PMingLiU" w:eastAsia="PMingLiU"/>
          <w:rtl w:val="0"/>
          <w:lang w:val="zh-TW" w:eastAsia="zh-TW"/>
        </w:rPr>
        <w:t>備註</w:t>
      </w:r>
      <w:r>
        <w:rPr>
          <w:rFonts w:ascii="Calibri" w:hAnsi="Calibri"/>
          <w:rtl w:val="0"/>
          <w:lang w:val="en-US"/>
        </w:rPr>
        <w:t>:</w:t>
      </w:r>
    </w:p>
    <w:p>
      <w:pPr>
        <w:pStyle w:val="清單段落1"/>
        <w:numPr>
          <w:ilvl w:val="0"/>
          <w:numId w:val="2"/>
        </w:numPr>
        <w:ind w:right="707"/>
        <w:rPr>
          <w:lang w:val="zh-TW" w:eastAsia="zh-TW"/>
        </w:rPr>
      </w:pPr>
      <w:r>
        <w:rPr>
          <w:rFonts w:ascii="PMingLiU" w:cs="PMingLiU" w:hAnsi="PMingLiU" w:eastAsia="PMingLiU"/>
          <w:rtl w:val="0"/>
          <w:lang w:val="zh-TW" w:eastAsia="zh-TW"/>
        </w:rPr>
        <w:t>如有更詳細的檢驗報告</w:t>
      </w:r>
      <w:r>
        <w:rPr>
          <w:rFonts w:ascii="Calibri" w:hAnsi="Calibri"/>
          <w:rtl w:val="0"/>
          <w:lang w:val="en-US"/>
        </w:rPr>
        <w:t xml:space="preserve"> (</w:t>
      </w:r>
      <w:r>
        <w:rPr>
          <w:rFonts w:ascii="PMingLiU" w:cs="PMingLiU" w:hAnsi="PMingLiU" w:eastAsia="PMingLiU"/>
          <w:rtl w:val="0"/>
          <w:lang w:val="zh-TW" w:eastAsia="zh-TW"/>
        </w:rPr>
        <w:t>如</w:t>
      </w:r>
      <w:r>
        <w:rPr>
          <w:rFonts w:ascii="Calibri" w:hAnsi="Calibri"/>
          <w:rtl w:val="0"/>
          <w:lang w:val="en-US"/>
        </w:rPr>
        <w:t xml:space="preserve">: </w:t>
      </w:r>
      <w:r>
        <w:rPr>
          <w:rFonts w:ascii="PMingLiU" w:cs="PMingLiU" w:hAnsi="PMingLiU" w:eastAsia="PMingLiU"/>
          <w:rtl w:val="0"/>
          <w:lang w:val="zh-TW" w:eastAsia="zh-TW"/>
        </w:rPr>
        <w:t>血檢報告、電腦斷層報告及光碟片</w:t>
      </w:r>
      <w:r>
        <w:rPr>
          <w:rFonts w:ascii="Calibri" w:hAnsi="Calibri"/>
          <w:rtl w:val="0"/>
          <w:lang w:val="en-US"/>
        </w:rPr>
        <w:t>X</w:t>
      </w:r>
      <w:r>
        <w:rPr>
          <w:rFonts w:ascii="PMingLiU" w:cs="PMingLiU" w:hAnsi="PMingLiU" w:eastAsia="PMingLiU"/>
          <w:rtl w:val="0"/>
          <w:lang w:val="zh-TW" w:eastAsia="zh-TW"/>
        </w:rPr>
        <w:t>光或超音波部分的圖片</w:t>
      </w:r>
      <w:r>
        <w:rPr>
          <w:rFonts w:ascii="Calibri" w:hAnsi="Calibri"/>
          <w:rtl w:val="0"/>
          <w:lang w:val="en-US"/>
        </w:rPr>
        <w:t>)</w:t>
      </w:r>
      <w:r>
        <w:rPr>
          <w:rFonts w:ascii="PMingLiU" w:cs="PMingLiU" w:hAnsi="PMingLiU" w:eastAsia="PMingLiU"/>
          <w:rtl w:val="0"/>
          <w:lang w:val="zh-TW" w:eastAsia="zh-TW"/>
        </w:rPr>
        <w:t>，細胞學的檢查請附照片或是攜帶玻片，就診當天帶到醫院；病理部分請附病理報告，請利用以下方式提供。以便提前安排補充檢驗事項</w:t>
      </w:r>
    </w:p>
    <w:p>
      <w:pPr>
        <w:pStyle w:val="清單段落1"/>
        <w:numPr>
          <w:ilvl w:val="0"/>
          <w:numId w:val="2"/>
        </w:numPr>
        <w:ind w:right="707"/>
        <w:rPr>
          <w:lang w:val="zh-TW" w:eastAsia="zh-TW"/>
        </w:rPr>
      </w:pPr>
      <w:r>
        <w:rPr>
          <w:rFonts w:ascii="PMingLiU" w:cs="PMingLiU" w:hAnsi="PMingLiU" w:eastAsia="PMingLiU"/>
          <w:rtl w:val="0"/>
          <w:lang w:val="zh-TW" w:eastAsia="zh-TW"/>
        </w:rPr>
        <w:t>填寫完畢後，</w:t>
      </w:r>
      <w:r>
        <w:rPr>
          <w:rFonts w:ascii="Calibri" w:hAnsi="Calibri"/>
          <w:rtl w:val="0"/>
          <w:lang w:val="en-US"/>
        </w:rPr>
        <w:t>E-mail</w:t>
      </w:r>
      <w:r>
        <w:rPr>
          <w:rFonts w:ascii="PMingLiU" w:cs="PMingLiU" w:hAnsi="PMingLiU" w:eastAsia="PMingLiU"/>
          <w:rtl w:val="0"/>
          <w:lang w:val="zh-TW" w:eastAsia="zh-TW"/>
        </w:rPr>
        <w:t>至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"mailto:referral@ntuvhoncology.com"</w:instrText>
      </w:r>
      <w:r>
        <w:rPr>
          <w:rStyle w:val="Hyperlink.0"/>
        </w:rPr>
        <w:fldChar w:fldCharType="separate" w:fldLock="0"/>
      </w:r>
      <w:r>
        <w:rPr>
          <w:rStyle w:val="Hyperlink.0"/>
          <w:rFonts w:ascii="Calibri" w:hAnsi="Calibri"/>
          <w:rtl w:val="0"/>
          <w:lang w:val="en-US"/>
        </w:rPr>
        <w:t>referral@ntuvhoncology.com</w:t>
      </w:r>
      <w:r>
        <w:rPr/>
        <w:fldChar w:fldCharType="end" w:fldLock="0"/>
      </w:r>
      <w:r>
        <w:rPr>
          <w:rFonts w:ascii="PMingLiU" w:cs="PMingLiU" w:hAnsi="PMingLiU" w:eastAsia="PMingLiU"/>
          <w:rtl w:val="0"/>
          <w:lang w:val="zh-TW" w:eastAsia="zh-TW"/>
        </w:rPr>
        <w:t>或傳真至</w:t>
      </w:r>
      <w:r>
        <w:rPr>
          <w:rFonts w:ascii="Calibri" w:hAnsi="Calibri"/>
          <w:rtl w:val="0"/>
          <w:lang w:val="en-US"/>
        </w:rPr>
        <w:t>02-3366-3881</w:t>
      </w:r>
      <w:r>
        <w:rPr>
          <w:rFonts w:ascii="PMingLiU" w:cs="PMingLiU" w:hAnsi="PMingLiU" w:eastAsia="PMingLiU"/>
          <w:rtl w:val="0"/>
          <w:lang w:val="zh-TW" w:eastAsia="zh-TW"/>
        </w:rPr>
        <w:t>，癌症中心收到預約單後將於兩個工作日內電話回覆並安排門診時間，請耐心等候。如造成不便，請見諒．謝謝！</w:t>
      </w:r>
    </w:p>
    <w:sectPr>
      <w:headerReference w:type="default" r:id="rId4"/>
      <w:footerReference w:type="default" r:id="rId5"/>
      <w:pgSz w:w="11900" w:h="16840" w:orient="portrait"/>
      <w:pgMar w:top="567" w:right="360" w:bottom="567" w:left="56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PMingLiU">
    <w:charset w:val="00"/>
    <w:family w:val="roman"/>
    <w:pitch w:val="default"/>
  </w:font>
  <w:font w:name="Yuanti TC Bold">
    <w:charset w:val="00"/>
    <w:family w:val="roman"/>
    <w:pitch w:val="default"/>
  </w:font>
  <w:font w:name="Yuanti TC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426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26" w:hanging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506" w:hanging="5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986" w:hanging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2466" w:hanging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2946" w:hanging="5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3426" w:hanging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3906" w:hanging="47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4386" w:hanging="5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48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內文1">
    <w:name w:val="內文1"/>
    <w:next w:val="內文1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Calibri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清單段落1">
    <w:name w:val="清單段落1"/>
    <w:next w:val="清單段落1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480" w:right="0" w:firstLine="0"/>
      <w:jc w:val="left"/>
      <w:outlineLvl w:val="9"/>
    </w:pPr>
    <w:rPr>
      <w:rFonts w:ascii="Arial Unicode MS" w:cs="Arial Unicode MS" w:hAnsi="Arial Unicode MS" w:eastAsia="Calibri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3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563c1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